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-426" w:firstLine="0"/>
        <w:rPr>
          <w:rFonts w:ascii="Helvetica Neue Light" w:cs="Helvetica Neue Light" w:eastAsia="Helvetica Neue Light" w:hAnsi="Helvetica Neue Light"/>
          <w:color w:val="0e5872"/>
          <w:sz w:val="84"/>
          <w:szCs w:val="84"/>
        </w:rPr>
      </w:pPr>
      <w:r w:rsidDel="00000000" w:rsidR="00000000" w:rsidRPr="00000000">
        <w:rPr>
          <w:rFonts w:ascii="Helvetica Neue Light" w:cs="Helvetica Neue Light" w:eastAsia="Helvetica Neue Light" w:hAnsi="Helvetica Neue Light"/>
          <w:color w:val="0e5872"/>
          <w:sz w:val="84"/>
          <w:szCs w:val="84"/>
          <w:rtl w:val="0"/>
        </w:rPr>
        <w:t xml:space="preserve">Cogentech S.r.L.</w:t>
      </w:r>
      <w:r w:rsidDel="00000000" w:rsidR="00000000" w:rsidRPr="00000000">
        <w:rPr>
          <w:rFonts w:ascii="Helvetica Neue Light" w:cs="Helvetica Neue Light" w:eastAsia="Helvetica Neue Light" w:hAnsi="Helvetica Neue Light"/>
          <w:color w:val="0e5872"/>
          <w:sz w:val="84"/>
          <w:szCs w:val="84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5626425</wp:posOffset>
            </wp:positionH>
            <wp:positionV relativeFrom="page">
              <wp:posOffset>571500</wp:posOffset>
            </wp:positionV>
            <wp:extent cx="1014413" cy="338138"/>
            <wp:effectExtent b="0" l="0" r="0" t="0"/>
            <wp:wrapNone/>
            <wp:docPr descr="SAGITTARIUS logo" id="35" name="image4.png"/>
            <a:graphic>
              <a:graphicData uri="http://schemas.openxmlformats.org/drawingml/2006/picture">
                <pic:pic>
                  <pic:nvPicPr>
                    <pic:cNvPr descr="SAGITTARIUS logo"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4413" cy="3381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La misión de Cogentech es proporcionar servicios científicos y de diagnóstico completos y fiables a investigadores y médicos. Es una corporación de beneficio, lo que significa que persigue fines de beneficio y opera de manera responsable, sostenible y transparente hacia las personas, las comunidades y el medio ambiente.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Cogentech está controlada por IFOM ETS, un instituto de investigación privado sin fines de lucro que opera a la vanguardia de la investigación básica y traslacional del cáncer. La colaboración con IFOM garantiza que los servicios prestados por Cogentech sean de vanguardia.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Cogentech opera en el sector de las pruebas genéticas para tumores hereditarios desde 2011 y procesa más de 1.700 análisis al año. Además, invierte en Investigación y Desarrollo más del 20% de su presupuesto anual para desarrollar nuevas herramientas y dispositivos de diagnóstico innovadores y mantener su papel competitivo en el mercado.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Dentro del proyecto SAGITTARIUS, Cogentech es una entidad afiliada al IFOM y se encarga de la elaboración de perfiles genéticos tumorales dentro del ensayo SAGITTARIUS.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https://www.cogentech.it/aboutus.php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hyperlink r:id="rId9">
        <w:r w:rsidDel="00000000" w:rsidR="00000000" w:rsidRPr="00000000">
          <w:rPr>
            <w:color w:val="0000ff"/>
            <w:u w:val="single"/>
            <w:rtl w:val="0"/>
          </w:rPr>
          <w:t xml:space="preserve">LinkedIn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Teléfono: +39 02 574 303 200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E-mail: </w:t>
      </w:r>
      <w:hyperlink r:id="rId10">
        <w:r w:rsidDel="00000000" w:rsidR="00000000" w:rsidRPr="00000000">
          <w:rPr>
            <w:color w:val="0000ff"/>
            <w:u w:val="single"/>
            <w:rtl w:val="0"/>
          </w:rPr>
          <w:t xml:space="preserve">cogentech@pec.it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via Adamello 16, 20139 Milan, Italy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jc w:val="center"/>
        <w:rPr>
          <w:color w:val="0e5872"/>
          <w:sz w:val="16"/>
          <w:szCs w:val="16"/>
        </w:rPr>
      </w:pPr>
      <w:r w:rsidDel="00000000" w:rsidR="00000000" w:rsidRPr="00000000">
        <w:rPr>
          <w:b w:val="1"/>
          <w:color w:val="0e5872"/>
          <w:sz w:val="16"/>
          <w:szCs w:val="16"/>
          <w:rtl w:val="0"/>
        </w:rPr>
        <w:t xml:space="preserve">Clinical study coordinator centres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1261282" cy="217462"/>
            <wp:effectExtent b="0" l="0" r="0" t="0"/>
            <wp:docPr id="27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61282" cy="2174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354954" cy="203662"/>
            <wp:effectExtent b="0" l="0" r="0" t="0"/>
            <wp:docPr id="26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4954" cy="2036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</w:t>
      </w: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726245" cy="230273"/>
            <wp:effectExtent b="0" l="0" r="0" t="0"/>
            <wp:docPr id="2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 b="24022" l="6425" r="11156" t="12482"/>
                    <a:stretch>
                      <a:fillRect/>
                    </a:stretch>
                  </pic:blipFill>
                  <pic:spPr>
                    <a:xfrm>
                      <a:off x="0" y="0"/>
                      <a:ext cx="726245" cy="2302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 </w:t>
      </w:r>
      <w:r w:rsidDel="00000000" w:rsidR="00000000" w:rsidRPr="00000000">
        <w:rPr/>
        <w:drawing>
          <wp:inline distB="114300" distT="114300" distL="114300" distR="114300">
            <wp:extent cx="514350" cy="190500"/>
            <wp:effectExtent b="0" l="0" r="0" t="0"/>
            <wp:docPr id="28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0"/>
          <w:szCs w:val="20"/>
          <w:rtl w:val="0"/>
        </w:rPr>
        <w:t xml:space="preserve">       </w:t>
      </w:r>
    </w:p>
    <w:p w:rsidR="00000000" w:rsidDel="00000000" w:rsidP="00000000" w:rsidRDefault="00000000" w:rsidRPr="00000000" w14:paraId="00000017">
      <w:pPr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jc w:val="center"/>
        <w:rPr>
          <w:b w:val="1"/>
          <w:color w:val="0e5872"/>
          <w:sz w:val="16"/>
          <w:szCs w:val="16"/>
        </w:rPr>
      </w:pPr>
      <w:r w:rsidDel="00000000" w:rsidR="00000000" w:rsidRPr="00000000">
        <w:rPr>
          <w:b w:val="1"/>
          <w:color w:val="0e5872"/>
          <w:sz w:val="16"/>
          <w:szCs w:val="16"/>
          <w:rtl w:val="0"/>
        </w:rPr>
        <w:t xml:space="preserve">SAGITTARIUS consortium</w:t>
      </w:r>
    </w:p>
    <w:p w:rsidR="00000000" w:rsidDel="00000000" w:rsidP="00000000" w:rsidRDefault="00000000" w:rsidRPr="00000000" w14:paraId="0000001A">
      <w:pPr>
        <w:spacing w:line="276" w:lineRule="auto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04825" cy="190500"/>
            <wp:effectExtent b="0" l="0" r="0" t="0"/>
            <wp:docPr id="3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/>
        <w:drawing>
          <wp:inline distB="114300" distT="114300" distL="114300" distR="114300">
            <wp:extent cx="609600" cy="190500"/>
            <wp:effectExtent b="0" l="0" r="0" t="0"/>
            <wp:docPr id="30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/>
        <w:drawing>
          <wp:inline distB="114300" distT="114300" distL="114300" distR="114300">
            <wp:extent cx="190500" cy="277813"/>
            <wp:effectExtent b="0" l="0" r="0" t="0"/>
            <wp:docPr id="33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778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536915" cy="266700"/>
            <wp:effectExtent b="0" l="0" r="0" t="0"/>
            <wp:docPr id="3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 b="0" l="6425" r="11156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915" cy="26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580125" cy="257175"/>
            <wp:effectExtent b="0" l="0" r="0" t="0"/>
            <wp:docPr id="3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8"/>
                    <a:srcRect b="14671" l="9470" r="8132" t="13954"/>
                    <a:stretch>
                      <a:fillRect/>
                    </a:stretch>
                  </pic:blipFill>
                  <pic:spPr>
                    <a:xfrm>
                      <a:off x="0" y="0"/>
                      <a:ext cx="580125" cy="257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816429" cy="190500"/>
            <wp:effectExtent b="0" l="0" r="0" t="0"/>
            <wp:docPr id="3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9"/>
                    <a:srcRect b="38336" l="0" r="-1584" t="38012"/>
                    <a:stretch>
                      <a:fillRect/>
                    </a:stretch>
                  </pic:blipFill>
                  <pic:spPr>
                    <a:xfrm>
                      <a:off x="0" y="0"/>
                      <a:ext cx="816429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365359" cy="198565"/>
            <wp:effectExtent b="0" l="0" r="0" t="0"/>
            <wp:docPr id="36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359" cy="1985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269759" cy="193889"/>
            <wp:effectExtent b="0" l="0" r="0" t="0"/>
            <wp:docPr id="38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9759" cy="19388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/>
        <w:drawing>
          <wp:inline distB="114300" distT="114300" distL="114300" distR="114300">
            <wp:extent cx="514350" cy="190500"/>
            <wp:effectExtent b="0" l="0" r="0" t="0"/>
            <wp:docPr id="39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5745600" cy="812800"/>
            <wp:effectExtent b="0" l="0" r="0" t="0"/>
            <wp:docPr id="40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5600" cy="81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headerReference r:id="rId23" w:type="default"/>
      <w:footerReference r:id="rId24" w:type="default"/>
      <w:pgSz w:h="16834" w:w="11909" w:orient="portrait"/>
      <w:pgMar w:bottom="1440" w:top="1440" w:left="1417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spacing w:line="276" w:lineRule="auto"/>
      <w:rPr/>
    </w:pPr>
    <w:r w:rsidDel="00000000" w:rsidR="00000000" w:rsidRPr="00000000">
      <w:rPr/>
      <w:drawing>
        <wp:inline distB="114300" distT="114300" distL="114300" distR="114300">
          <wp:extent cx="1171688" cy="318140"/>
          <wp:effectExtent b="0" l="0" r="0" t="0"/>
          <wp:docPr id="41" name="image6.png"/>
          <a:graphic>
            <a:graphicData uri="http://schemas.openxmlformats.org/drawingml/2006/picture">
              <pic:pic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1688" cy="3181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Revisione">
    <w:name w:val="Revision"/>
    <w:hidden w:val="1"/>
    <w:uiPriority w:val="99"/>
    <w:semiHidden w:val="1"/>
    <w:rsid w:val="00D22034"/>
    <w:pPr>
      <w:spacing w:line="240" w:lineRule="auto"/>
    </w:pPr>
  </w:style>
  <w:style w:type="character" w:styleId="Collegamentoipertestuale">
    <w:name w:val="Hyperlink"/>
    <w:basedOn w:val="Carpredefinitoparagrafo"/>
    <w:uiPriority w:val="99"/>
    <w:unhideWhenUsed w:val="1"/>
    <w:rsid w:val="00100C76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100C76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8.png"/><Relationship Id="rId11" Type="http://schemas.openxmlformats.org/officeDocument/2006/relationships/image" Target="media/image10.png"/><Relationship Id="rId22" Type="http://schemas.openxmlformats.org/officeDocument/2006/relationships/image" Target="media/image7.png"/><Relationship Id="rId10" Type="http://schemas.openxmlformats.org/officeDocument/2006/relationships/hyperlink" Target="mailto:cogentech@pec.it" TargetMode="External"/><Relationship Id="rId21" Type="http://schemas.openxmlformats.org/officeDocument/2006/relationships/image" Target="media/image9.png"/><Relationship Id="rId13" Type="http://schemas.openxmlformats.org/officeDocument/2006/relationships/image" Target="media/image1.png"/><Relationship Id="rId24" Type="http://schemas.openxmlformats.org/officeDocument/2006/relationships/footer" Target="footer1.xml"/><Relationship Id="rId12" Type="http://schemas.openxmlformats.org/officeDocument/2006/relationships/image" Target="media/image11.png"/><Relationship Id="rId23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linkedin.com/company/cogentechsrl/" TargetMode="External"/><Relationship Id="rId15" Type="http://schemas.openxmlformats.org/officeDocument/2006/relationships/image" Target="media/image2.png"/><Relationship Id="rId14" Type="http://schemas.openxmlformats.org/officeDocument/2006/relationships/image" Target="media/image12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5" Type="http://schemas.openxmlformats.org/officeDocument/2006/relationships/styles" Target="styles.xml"/><Relationship Id="rId19" Type="http://schemas.openxmlformats.org/officeDocument/2006/relationships/image" Target="media/image5.png"/><Relationship Id="rId6" Type="http://schemas.openxmlformats.org/officeDocument/2006/relationships/customXml" Target="../customXML/item1.xml"/><Relationship Id="rId18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hyperlink" Target="https://www.cogentech.it/aboutus.php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Light-regular.ttf"/><Relationship Id="rId2" Type="http://schemas.openxmlformats.org/officeDocument/2006/relationships/font" Target="fonts/HelveticaNeueLight-bold.ttf"/><Relationship Id="rId3" Type="http://schemas.openxmlformats.org/officeDocument/2006/relationships/font" Target="fonts/HelveticaNeueLight-italic.ttf"/><Relationship Id="rId4" Type="http://schemas.openxmlformats.org/officeDocument/2006/relationships/font" Target="fonts/HelveticaNeueLigh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AMVcaEdKshIeDjrV1FYewhkQFw==">CgMxLjA4AHIhMWFEOXRNSHpBRWJlRVBPY2VtajJwNXZUU3FkM1R1Ujlw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2024-03-25T15:31:00Z</dcterms:created>
</cp:coreProperties>
</file>